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BBA6" w14:textId="77777777" w:rsidR="00065A6D" w:rsidRDefault="00065A6D" w:rsidP="00065A6D">
      <w:pPr>
        <w:jc w:val="right"/>
        <w:rPr>
          <w:rFonts w:ascii="Arial" w:eastAsia="Times New Roman" w:hAnsi="Arial" w:cs="Arial"/>
          <w:b/>
          <w:color w:val="333333"/>
          <w:lang w:eastAsia="en-GB"/>
        </w:rPr>
      </w:pPr>
      <w:r>
        <w:rPr>
          <w:rFonts w:ascii="Arial" w:eastAsia="Times New Roman" w:hAnsi="Arial" w:cs="Arial"/>
          <w:b/>
          <w:color w:val="333333"/>
          <w:lang w:eastAsia="en-GB"/>
        </w:rPr>
        <w:t>Appendix 1</w:t>
      </w:r>
    </w:p>
    <w:p w14:paraId="05B255B0" w14:textId="3F5C8311" w:rsidR="00113362" w:rsidRPr="0093213C" w:rsidRDefault="00065A6D" w:rsidP="0093213C">
      <w:pP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 w:rsidRPr="00ED42B4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Equality Objectives and Action Plan April 20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23</w:t>
      </w:r>
      <w:r w:rsidRPr="00ED42B4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 – March 20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26</w:t>
      </w:r>
      <w:r w:rsidRPr="00ED42B4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 (subject to annual review)</w:t>
      </w:r>
    </w:p>
    <w:tbl>
      <w:tblPr>
        <w:tblStyle w:val="TableGrid"/>
        <w:tblpPr w:leftFromText="180" w:rightFromText="180" w:vertAnchor="text" w:horzAnchor="margin" w:tblpX="-431" w:tblpY="98"/>
        <w:tblW w:w="14851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4111"/>
        <w:gridCol w:w="2268"/>
        <w:gridCol w:w="1560"/>
      </w:tblGrid>
      <w:tr w:rsidR="00065A6D" w:rsidRPr="0045743D" w14:paraId="7AFE3A34" w14:textId="77777777" w:rsidTr="00DB1F9D">
        <w:tc>
          <w:tcPr>
            <w:tcW w:w="2518" w:type="dxa"/>
            <w:tcBorders>
              <w:bottom w:val="single" w:sz="4" w:space="0" w:color="auto"/>
            </w:tcBorders>
            <w:shd w:val="clear" w:color="auto" w:fill="00B0F0"/>
          </w:tcPr>
          <w:p w14:paraId="1228E98B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B0F0"/>
          </w:tcPr>
          <w:p w14:paraId="46944327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B0F0"/>
          </w:tcPr>
          <w:p w14:paraId="40E0F7D9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Outcome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F0"/>
          </w:tcPr>
          <w:p w14:paraId="11912104" w14:textId="593C4888" w:rsidR="00065A6D" w:rsidRPr="008B6413" w:rsidRDefault="00113362" w:rsidP="00DB1F9D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ICB</w:t>
            </w:r>
            <w:r w:rsidR="00065A6D" w:rsidRPr="008B64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 Lead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14:paraId="07AC607C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Target completion date</w:t>
            </w:r>
          </w:p>
        </w:tc>
      </w:tr>
      <w:tr w:rsidR="00065A6D" w:rsidRPr="0045743D" w14:paraId="0E30EA6F" w14:textId="77777777" w:rsidTr="00DB1F9D">
        <w:tc>
          <w:tcPr>
            <w:tcW w:w="14851" w:type="dxa"/>
            <w:gridSpan w:val="5"/>
            <w:shd w:val="clear" w:color="auto" w:fill="BFBFBF" w:themeFill="background1" w:themeFillShade="BF"/>
          </w:tcPr>
          <w:p w14:paraId="060BCFD6" w14:textId="078C458A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Objective 1 - To </w:t>
            </w:r>
            <w:r w:rsidR="00624B3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develop a </w:t>
            </w:r>
            <w:r w:rsidR="004A0CE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framework</w:t>
            </w:r>
            <w:r w:rsidR="00624B3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 and </w:t>
            </w:r>
            <w:r w:rsidR="00F2550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robust </w:t>
            </w:r>
            <w:r w:rsidR="00624B3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action plan for promoting equality</w:t>
            </w:r>
            <w:r w:rsidR="00F2550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="00F2550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diversity</w:t>
            </w:r>
            <w:proofErr w:type="gramEnd"/>
            <w:r w:rsidR="00F2550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 and inclusion, which </w:t>
            </w:r>
            <w:r w:rsidR="00153665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sets out clear objectives</w:t>
            </w:r>
            <w:r w:rsidR="001134B0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 to ens</w:t>
            </w:r>
            <w:r w:rsidR="00153665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ur</w:t>
            </w:r>
            <w:r w:rsidR="001134B0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>e</w:t>
            </w:r>
            <w:r w:rsidR="00F25506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GB"/>
              </w:rPr>
              <w:t xml:space="preserve"> good practice across our organisation and link to wider health inequalities work that is being undertaken in our Integrated Care System.  </w:t>
            </w:r>
          </w:p>
        </w:tc>
      </w:tr>
      <w:tr w:rsidR="000D7B9E" w:rsidRPr="001E2FDE" w14:paraId="3C19C9B3" w14:textId="77777777" w:rsidTr="00DB1F9D">
        <w:tc>
          <w:tcPr>
            <w:tcW w:w="2518" w:type="dxa"/>
          </w:tcPr>
          <w:p w14:paraId="06F723A9" w14:textId="44151EC6" w:rsidR="000D7B9E" w:rsidRPr="008B6413" w:rsidRDefault="000D7B9E" w:rsidP="00DB1F9D">
            <w:pPr>
              <w:pStyle w:val="ListParagraph"/>
              <w:numPr>
                <w:ilvl w:val="0"/>
                <w:numId w:val="6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Refine our Equality Objectives</w:t>
            </w:r>
          </w:p>
        </w:tc>
        <w:tc>
          <w:tcPr>
            <w:tcW w:w="4394" w:type="dxa"/>
          </w:tcPr>
          <w:p w14:paraId="521FBD0C" w14:textId="38B95766" w:rsidR="000D7B9E" w:rsidRPr="008B6413" w:rsidRDefault="000D7B9E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Produce a set of SMART equality objectives, which reflect the ongoing work to promote equality,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diversity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inclusion.</w:t>
            </w:r>
          </w:p>
        </w:tc>
        <w:tc>
          <w:tcPr>
            <w:tcW w:w="4111" w:type="dxa"/>
          </w:tcPr>
          <w:p w14:paraId="26A4471C" w14:textId="4C6423AC" w:rsidR="000D7B9E" w:rsidRPr="008B6413" w:rsidRDefault="000D7B9E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Equality objectives approved by Board and published on the ICB website.</w:t>
            </w:r>
          </w:p>
        </w:tc>
        <w:tc>
          <w:tcPr>
            <w:tcW w:w="2268" w:type="dxa"/>
          </w:tcPr>
          <w:p w14:paraId="0748B72C" w14:textId="77D6931F" w:rsidR="000D7B9E" w:rsidRPr="008B6413" w:rsidRDefault="000D7B9E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Director</w:t>
            </w:r>
            <w:r w:rsidR="00D1768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People Culture &amp; Engagement </w:t>
            </w:r>
          </w:p>
        </w:tc>
        <w:tc>
          <w:tcPr>
            <w:tcW w:w="1560" w:type="dxa"/>
          </w:tcPr>
          <w:p w14:paraId="0BA7B6BB" w14:textId="60C083E7" w:rsidR="000D7B9E" w:rsidRDefault="000D7B9E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November 2024 </w:t>
            </w:r>
          </w:p>
        </w:tc>
      </w:tr>
      <w:tr w:rsidR="00065A6D" w:rsidRPr="001E2FDE" w14:paraId="35D5D08C" w14:textId="77777777" w:rsidTr="00DB1F9D">
        <w:tc>
          <w:tcPr>
            <w:tcW w:w="2518" w:type="dxa"/>
          </w:tcPr>
          <w:p w14:paraId="059E65D1" w14:textId="6B7EA508" w:rsidR="00065A6D" w:rsidRPr="008B6413" w:rsidRDefault="00065A6D" w:rsidP="00DB1F9D">
            <w:pPr>
              <w:pStyle w:val="ListParagraph"/>
              <w:numPr>
                <w:ilvl w:val="0"/>
                <w:numId w:val="6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Produce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an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equality </w:t>
            </w:r>
            <w:r w:rsidR="004A0CE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framework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action plan</w:t>
            </w:r>
            <w:r w:rsidR="00B729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</w:tc>
        <w:tc>
          <w:tcPr>
            <w:tcW w:w="4394" w:type="dxa"/>
          </w:tcPr>
          <w:p w14:paraId="28B4ACF6" w14:textId="4EA2C7EE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To inform staff and local stakeholders of </w:t>
            </w:r>
            <w:r w:rsidR="00AB728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ICB’s role in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promot</w:t>
            </w:r>
            <w:r w:rsidR="00AB728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ing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equality and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valu</w:t>
            </w:r>
            <w:r w:rsidR="00AB728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diversity</w:t>
            </w:r>
            <w:r w:rsidR="00AB728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This will link </w:t>
            </w:r>
            <w:r w:rsidR="00F255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wider work to tackle health inequalities in both the ICB and in collaboration with ICS partners</w:t>
            </w:r>
            <w:r w:rsidR="00B729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="00B729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="00B729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Joint Forward Plan, Health Inequalities Framework</w:t>
            </w:r>
            <w:r w:rsidR="00F255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11" w:type="dxa"/>
          </w:tcPr>
          <w:p w14:paraId="365C2F63" w14:textId="740A4D4B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An agreed strategy and action plan will be published on the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website</w:t>
            </w:r>
            <w:r w:rsidR="00B729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shared with staff through briefings, training opportunities and staff induction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0992B086" w14:textId="64AFDBEB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action plan will be subject to ongoing monitoring by </w:t>
            </w:r>
            <w:r w:rsidR="000D7B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Equality and Health Inequalities Oversight Group.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 A full review will be undertaken on an annual basis to ensure that the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responsive to changes in: </w:t>
            </w:r>
          </w:p>
          <w:p w14:paraId="5B8ACA10" w14:textId="77777777" w:rsidR="00065A6D" w:rsidRPr="008B6413" w:rsidRDefault="00065A6D" w:rsidP="00DB1F9D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relevant legislation; and </w:t>
            </w:r>
          </w:p>
          <w:p w14:paraId="7676A94B" w14:textId="77777777" w:rsidR="00065A6D" w:rsidRPr="008B6413" w:rsidRDefault="00065A6D" w:rsidP="00DB1F9D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changing needs of our local communities.   </w:t>
            </w:r>
          </w:p>
        </w:tc>
        <w:tc>
          <w:tcPr>
            <w:tcW w:w="2268" w:type="dxa"/>
          </w:tcPr>
          <w:p w14:paraId="41498826" w14:textId="2087B6D5" w:rsidR="00065A6D" w:rsidRPr="008B6413" w:rsidRDefault="000D7B9E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Senior Manager, Engagement &amp; Inclusion </w:t>
            </w:r>
          </w:p>
        </w:tc>
        <w:tc>
          <w:tcPr>
            <w:tcW w:w="1560" w:type="dxa"/>
          </w:tcPr>
          <w:p w14:paraId="3CF8F4D8" w14:textId="0DBDC401" w:rsidR="00065A6D" w:rsidRPr="008B6413" w:rsidRDefault="000D7B9E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November</w:t>
            </w:r>
            <w:r w:rsidR="00065A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2024</w:t>
            </w:r>
          </w:p>
        </w:tc>
      </w:tr>
      <w:tr w:rsidR="00065A6D" w:rsidRPr="001E2FDE" w14:paraId="6276CF24" w14:textId="77777777" w:rsidTr="00DB1F9D">
        <w:tc>
          <w:tcPr>
            <w:tcW w:w="2518" w:type="dxa"/>
            <w:tcBorders>
              <w:bottom w:val="single" w:sz="4" w:space="0" w:color="auto"/>
            </w:tcBorders>
          </w:tcPr>
          <w:p w14:paraId="3E32689C" w14:textId="13C3BFA6" w:rsidR="00065A6D" w:rsidRPr="008B6413" w:rsidRDefault="00113362" w:rsidP="00DB1F9D">
            <w:pPr>
              <w:pStyle w:val="ListParagraph"/>
              <w:numPr>
                <w:ilvl w:val="0"/>
                <w:numId w:val="6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Establish a robust process for completion of the EDS assessment, including identification of priorities and monitoring of related action plans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EE40E5A" w14:textId="1EBA186D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Using the stepped approach outlined in the NHS England guidance (refer to Appendix </w:t>
            </w:r>
            <w:r w:rsidR="000D7B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XX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), the </w:t>
            </w:r>
            <w:r w:rsidR="001133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will undertake a full assessment and grading of its performance against the goals and outcomes of EDS. </w:t>
            </w:r>
          </w:p>
          <w:p w14:paraId="7E0758D3" w14:textId="77777777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Helps to meet our duties under the Public Sector Equality Duty and the NHS Constitution. </w:t>
            </w:r>
          </w:p>
          <w:p w14:paraId="7AE79773" w14:textId="72A6A122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Develop best practice by integrating equalities/health inequalities consid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erations in day</w:t>
            </w:r>
            <w:r w:rsidR="000D7B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</w:t>
            </w:r>
            <w:r w:rsidR="000D7B9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day business.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1AA2046" w14:textId="13161E03" w:rsidR="00065A6D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An assessment and grading of our performance against the goals and outcomes of EDS is completed</w:t>
            </w:r>
            <w:r w:rsidR="00455A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for 2024/25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  <w:p w14:paraId="03ECFA1A" w14:textId="7CEB31D4" w:rsidR="00455AAA" w:rsidRPr="008B6413" w:rsidRDefault="00455AAA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 cyclical process is established to ensure annual completion of the EDS reporting and subsequent monitoring of identified actions. </w:t>
            </w:r>
          </w:p>
          <w:p w14:paraId="16A4DCE6" w14:textId="702D805A" w:rsidR="00065A6D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DBB1143" w14:textId="77777777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92098A" w14:textId="77777777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Senior Manager, Engagement &amp; Inclusion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84B093" w14:textId="6F077F78" w:rsidR="00065A6D" w:rsidRPr="008B6413" w:rsidRDefault="00455AAA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March 2025</w:t>
            </w:r>
          </w:p>
        </w:tc>
      </w:tr>
    </w:tbl>
    <w:p w14:paraId="6711AA83" w14:textId="77777777" w:rsidR="00065A6D" w:rsidRDefault="00065A6D" w:rsidP="00065A6D">
      <w:pPr>
        <w:spacing w:after="0"/>
      </w:pPr>
    </w:p>
    <w:p w14:paraId="7F717329" w14:textId="77777777" w:rsidR="0093213C" w:rsidRDefault="0093213C" w:rsidP="00065A6D">
      <w:pPr>
        <w:spacing w:after="0"/>
      </w:pPr>
    </w:p>
    <w:p w14:paraId="662A1C16" w14:textId="77777777" w:rsidR="0093213C" w:rsidRDefault="0093213C" w:rsidP="00065A6D">
      <w:pPr>
        <w:spacing w:after="0"/>
      </w:pPr>
    </w:p>
    <w:p w14:paraId="0C20D20E" w14:textId="77777777" w:rsidR="0093213C" w:rsidRDefault="0093213C" w:rsidP="00065A6D">
      <w:pPr>
        <w:spacing w:after="0"/>
      </w:pPr>
    </w:p>
    <w:p w14:paraId="1356C46F" w14:textId="77777777" w:rsidR="0093213C" w:rsidRDefault="0093213C" w:rsidP="00065A6D">
      <w:pPr>
        <w:spacing w:after="0"/>
      </w:pPr>
    </w:p>
    <w:p w14:paraId="47FD9DE3" w14:textId="77777777" w:rsidR="0093213C" w:rsidRDefault="0093213C" w:rsidP="00065A6D">
      <w:pPr>
        <w:spacing w:after="0"/>
      </w:pPr>
    </w:p>
    <w:p w14:paraId="5775747E" w14:textId="77777777" w:rsidR="0093213C" w:rsidRDefault="0093213C" w:rsidP="00065A6D">
      <w:pPr>
        <w:spacing w:after="0"/>
      </w:pPr>
    </w:p>
    <w:tbl>
      <w:tblPr>
        <w:tblStyle w:val="TableGrid"/>
        <w:tblpPr w:leftFromText="180" w:rightFromText="180" w:vertAnchor="text" w:horzAnchor="margin" w:tblpX="-431" w:tblpY="98"/>
        <w:tblW w:w="14993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4111"/>
        <w:gridCol w:w="2268"/>
        <w:gridCol w:w="1560"/>
      </w:tblGrid>
      <w:tr w:rsidR="00065A6D" w:rsidRPr="001E2FDE" w14:paraId="116DE15D" w14:textId="77777777" w:rsidTr="00DB1F9D">
        <w:tc>
          <w:tcPr>
            <w:tcW w:w="2660" w:type="dxa"/>
            <w:tcBorders>
              <w:bottom w:val="single" w:sz="4" w:space="0" w:color="auto"/>
            </w:tcBorders>
            <w:shd w:val="clear" w:color="auto" w:fill="00B0F0"/>
          </w:tcPr>
          <w:p w14:paraId="2BC745D3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Action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B0F0"/>
          </w:tcPr>
          <w:p w14:paraId="16CE6827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B0F0"/>
          </w:tcPr>
          <w:p w14:paraId="077E5200" w14:textId="77777777" w:rsidR="00065A6D" w:rsidRPr="00C36E03" w:rsidRDefault="00065A6D" w:rsidP="00DB1F9D">
            <w:pPr>
              <w:ind w:left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Outcome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F0"/>
          </w:tcPr>
          <w:p w14:paraId="141C7576" w14:textId="213694E0" w:rsidR="00065A6D" w:rsidRPr="00C36E03" w:rsidRDefault="00142EAE" w:rsidP="00DB1F9D">
            <w:pPr>
              <w:ind w:left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ICB</w:t>
            </w:r>
            <w:r w:rsidR="00065A6D" w:rsidRPr="00C36E0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Lead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14:paraId="22D2F0D5" w14:textId="77777777" w:rsidR="00065A6D" w:rsidRPr="008B6413" w:rsidRDefault="00065A6D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Target completion date</w:t>
            </w:r>
          </w:p>
        </w:tc>
      </w:tr>
      <w:tr w:rsidR="00065A6D" w:rsidRPr="001E2FDE" w14:paraId="1918D0D2" w14:textId="77777777" w:rsidTr="00DB1F9D">
        <w:tc>
          <w:tcPr>
            <w:tcW w:w="1499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6B794A" w14:textId="17E2182D" w:rsidR="00065A6D" w:rsidRPr="00034EBC" w:rsidRDefault="00065A6D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34E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Objective 2 – </w:t>
            </w:r>
            <w:r w:rsid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Build a</w:t>
            </w:r>
            <w:r w:rsidR="00AE0B8E">
              <w:t xml:space="preserve"> </w:t>
            </w:r>
            <w:r w:rsidR="00AE0B8E" w:rsidRP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detailed understanding of our population and their health needs, through published data sets</w:t>
            </w:r>
            <w:r w:rsid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A116D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local engagement with our communities, </w:t>
            </w:r>
            <w:r w:rsid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improvements in the quality of </w:t>
            </w:r>
            <w:r w:rsidR="00A851D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our</w:t>
            </w:r>
            <w:r w:rsid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data </w:t>
            </w:r>
            <w:r w:rsidR="00A851D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recording</w:t>
            </w:r>
            <w:r w:rsidR="00AE0B8E" w:rsidRP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and </w:t>
            </w:r>
            <w:r w:rsidR="00A851D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robust use of </w:t>
            </w:r>
            <w:r w:rsidR="00AE0B8E" w:rsidRP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Equality</w:t>
            </w:r>
            <w:r w:rsidR="00A851D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and Engagement</w:t>
            </w:r>
            <w:r w:rsidR="00AE0B8E" w:rsidRPr="00AE0B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Impact Assessments. </w:t>
            </w:r>
          </w:p>
        </w:tc>
      </w:tr>
      <w:tr w:rsidR="00A116D1" w:rsidRPr="001E2FDE" w14:paraId="0A2A6047" w14:textId="77777777" w:rsidTr="00DB1F9D">
        <w:trPr>
          <w:trHeight w:val="3342"/>
        </w:trPr>
        <w:tc>
          <w:tcPr>
            <w:tcW w:w="2660" w:type="dxa"/>
          </w:tcPr>
          <w:p w14:paraId="2199223E" w14:textId="677A8B15" w:rsidR="00A116D1" w:rsidRPr="008B6413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Work in partnership to develop accessible information and resources on health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outcomes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for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specific communities in Gloucestershire </w:t>
            </w:r>
          </w:p>
        </w:tc>
        <w:tc>
          <w:tcPr>
            <w:tcW w:w="4394" w:type="dxa"/>
          </w:tcPr>
          <w:p w14:paraId="6336885B" w14:textId="6E73FA91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Better understanding of the health needs of different protected groups and subsequent development of services to meet these needs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783B1CD5" w14:textId="440ECEFA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Review the quality of data that we hold and develop a plan for improvement.</w:t>
            </w:r>
          </w:p>
          <w:p w14:paraId="3E1A0232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Information is available via the JSNA and Health Inequalities Plan, overseen by Public Health.  </w:t>
            </w:r>
          </w:p>
          <w:p w14:paraId="0AC3651D" w14:textId="7F3EDAE1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Raise staff awareness of th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 available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information to ensure it supports commissioning decisions.</w:t>
            </w:r>
          </w:p>
        </w:tc>
        <w:tc>
          <w:tcPr>
            <w:tcW w:w="4111" w:type="dxa"/>
          </w:tcPr>
          <w:p w14:paraId="694CCEB5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ICB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demonstrates a good understanding of the health needs of its population by different protected characteristics and vulnerable groups.  We commission appropriate services, informed by local engagement. </w:t>
            </w:r>
          </w:p>
          <w:p w14:paraId="050AD30B" w14:textId="42A2E360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Clinical Programme Groups utilise needs assessments and local sources of information (</w:t>
            </w:r>
            <w:proofErr w:type="gramStart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JSNA) to inform service design. EIA demonstrate consideration of equality issues.  </w:t>
            </w:r>
          </w:p>
        </w:tc>
        <w:tc>
          <w:tcPr>
            <w:tcW w:w="2268" w:type="dxa"/>
          </w:tcPr>
          <w:p w14:paraId="0B4F07BE" w14:textId="7DF9A9BF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Equality and Health Inequalities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Oversight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Group</w:t>
            </w:r>
          </w:p>
        </w:tc>
        <w:tc>
          <w:tcPr>
            <w:tcW w:w="1560" w:type="dxa"/>
          </w:tcPr>
          <w:p w14:paraId="6DF1F65A" w14:textId="0C5CD258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March 2025</w:t>
            </w:r>
          </w:p>
          <w:p w14:paraId="7684BF2C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DA6EB27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1E8C715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116D1" w:rsidRPr="001E2FDE" w14:paraId="73589E05" w14:textId="77777777" w:rsidTr="00DB1F9D">
        <w:trPr>
          <w:trHeight w:val="3342"/>
        </w:trPr>
        <w:tc>
          <w:tcPr>
            <w:tcW w:w="2660" w:type="dxa"/>
            <w:tcBorders>
              <w:bottom w:val="single" w:sz="4" w:space="0" w:color="auto"/>
            </w:tcBorders>
          </w:tcPr>
          <w:p w14:paraId="71CE0B32" w14:textId="67980DDC" w:rsidR="00A116D1" w:rsidRPr="008B6413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Develop resources on specific health conditions and their incidence for different protected and vulnerable groups.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907EDE" w14:textId="1E5C7E31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orking in partnership with others </w:t>
            </w:r>
            <w:proofErr w:type="gramStart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Public Health, develop easy to access information and resources on health variations among specific communities in Gloucestershire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B9020A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Easy to access resources are readily available to inform day to day commissioning. </w:t>
            </w:r>
          </w:p>
          <w:p w14:paraId="2A5FCE4F" w14:textId="746C37DE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Public Health</w:t>
            </w:r>
            <w:r w:rsidR="006464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/Business Intelligence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actively involved in all Clinical Programme Groups and provide condition specific needs assessments.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7A875D" w14:textId="1D2EA9D6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Clinical Programme Leads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A7CC62" w14:textId="223631CA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Examples of good practice will be included as part of PSED reporting process.</w:t>
            </w:r>
          </w:p>
        </w:tc>
      </w:tr>
      <w:tr w:rsidR="00A116D1" w:rsidRPr="001E2FDE" w14:paraId="241087E5" w14:textId="77777777" w:rsidTr="00DB1F9D">
        <w:trPr>
          <w:trHeight w:val="3342"/>
        </w:trPr>
        <w:tc>
          <w:tcPr>
            <w:tcW w:w="2660" w:type="dxa"/>
          </w:tcPr>
          <w:p w14:paraId="680FBFF5" w14:textId="39423598" w:rsidR="00A116D1" w:rsidRPr="008B6413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Ensure that consideration of equality and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diversity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</w:t>
            </w:r>
            <w:proofErr w:type="gramStart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taken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into account</w:t>
            </w:r>
            <w:proofErr w:type="gramEnd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in our decision-making processes. </w:t>
            </w:r>
          </w:p>
        </w:tc>
        <w:tc>
          <w:tcPr>
            <w:tcW w:w="4394" w:type="dxa"/>
          </w:tcPr>
          <w:p w14:paraId="3F4418A2" w14:textId="41BD1885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Raise awareness by delivering regular briefings/training and development sessions as required. Equality and diversity forms part of the mandatory training package. </w:t>
            </w:r>
          </w:p>
          <w:p w14:paraId="3271D7A5" w14:textId="09EC43C2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Supports integration of equalities and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diversity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into day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-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-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day business. Helps to meet legal and regulatory requirements.</w:t>
            </w:r>
          </w:p>
        </w:tc>
        <w:tc>
          <w:tcPr>
            <w:tcW w:w="4111" w:type="dxa"/>
          </w:tcPr>
          <w:p w14:paraId="546A91C8" w14:textId="317DB136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Staff within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 become more aware of why equality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 provision and health outcomes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important.  </w:t>
            </w:r>
          </w:p>
          <w:p w14:paraId="17679261" w14:textId="260C4B9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Revision of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Equality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Engagement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Impact Assessment process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and development of support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to complement the PMO training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sessions.  </w:t>
            </w:r>
          </w:p>
        </w:tc>
        <w:tc>
          <w:tcPr>
            <w:tcW w:w="2268" w:type="dxa"/>
          </w:tcPr>
          <w:p w14:paraId="7B675C37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Senior Manager, Engagement &amp; Inclusion</w:t>
            </w:r>
          </w:p>
        </w:tc>
        <w:tc>
          <w:tcPr>
            <w:tcW w:w="1560" w:type="dxa"/>
          </w:tcPr>
          <w:p w14:paraId="7DD65F3C" w14:textId="0CBD22A3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Revision of EEIA - November 2024</w:t>
            </w:r>
          </w:p>
        </w:tc>
      </w:tr>
      <w:tr w:rsidR="00A116D1" w:rsidRPr="001E2FDE" w14:paraId="6EB627BF" w14:textId="77777777" w:rsidTr="00DB1F9D">
        <w:tc>
          <w:tcPr>
            <w:tcW w:w="2660" w:type="dxa"/>
          </w:tcPr>
          <w:p w14:paraId="293A22DA" w14:textId="65E39B35" w:rsidR="00A116D1" w:rsidRPr="008B6413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nsure that staff use the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Equality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Engagement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Impact Assessment (E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IA) process as a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planning tool and consider equalities and health inequalities issues at all stages of the commissioning cycle.</w:t>
            </w:r>
          </w:p>
        </w:tc>
        <w:tc>
          <w:tcPr>
            <w:tcW w:w="4394" w:type="dxa"/>
          </w:tcPr>
          <w:p w14:paraId="3657C3B0" w14:textId="0544E1EF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Training and awareness raising to ensure the EEI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 framework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used appropriately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5FFAFD25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Demonstrate legal compliance with the Public Sector Equality Duty and other regulatory requirements.</w:t>
            </w:r>
          </w:p>
          <w:p w14:paraId="3ACE55D9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Open and transparent decision-making meeting legal and regulatory requirements developing best practice </w:t>
            </w:r>
            <w:r w:rsidRPr="00A537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improving performance. </w:t>
            </w:r>
          </w:p>
        </w:tc>
        <w:tc>
          <w:tcPr>
            <w:tcW w:w="4111" w:type="dxa"/>
          </w:tcPr>
          <w:p w14:paraId="4B32D35E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E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EIA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are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use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support decision-making.  </w:t>
            </w:r>
          </w:p>
          <w:p w14:paraId="18C044C5" w14:textId="315C94AF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Examples of EEIAs are made available on the NHS Gloucestershire website.</w:t>
            </w:r>
          </w:p>
        </w:tc>
        <w:tc>
          <w:tcPr>
            <w:tcW w:w="2268" w:type="dxa"/>
          </w:tcPr>
          <w:p w14:paraId="231AF25D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Senior Manager, Engagement &amp; Inclusion</w:t>
            </w:r>
          </w:p>
        </w:tc>
        <w:tc>
          <w:tcPr>
            <w:tcW w:w="1560" w:type="dxa"/>
          </w:tcPr>
          <w:p w14:paraId="5BD0A77C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Subject to annual review as part of P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ublic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ector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quality 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D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uty (PSED)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reporting process.</w:t>
            </w:r>
          </w:p>
        </w:tc>
      </w:tr>
      <w:tr w:rsidR="00A116D1" w:rsidRPr="001E2FDE" w14:paraId="5F073A67" w14:textId="77777777" w:rsidTr="00DB1F9D">
        <w:trPr>
          <w:trHeight w:val="3977"/>
        </w:trPr>
        <w:tc>
          <w:tcPr>
            <w:tcW w:w="2660" w:type="dxa"/>
            <w:tcBorders>
              <w:bottom w:val="single" w:sz="4" w:space="0" w:color="auto"/>
            </w:tcBorders>
          </w:tcPr>
          <w:p w14:paraId="1D195852" w14:textId="09857CC3" w:rsidR="00A116D1" w:rsidRPr="003F705F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F705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Support staff to put equality/reduction in health inequalities at the heart of commissioning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02DC43B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Raise staff awareness of how they can engage with disadvantaged and vulnerable groups to ensure their feedback informs decision-making.  </w:t>
            </w:r>
          </w:p>
          <w:p w14:paraId="572D6803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Supporting and developing staff skills and competencies to ensure that service developments and redesign are informed by a wide range of patient experiences.</w:t>
            </w:r>
          </w:p>
          <w:p w14:paraId="705E1568" w14:textId="03FC0FD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Continue to build a stakeholder map to ensure that G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engaging across a broad range of communities.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682BE4" w14:textId="731A5D2E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Staff and stakeholders have a clear understanding of how to engage with people from different protected/ vulnerable/seldom heard groups and the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can demonstrate good engagement.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68C670" w14:textId="34D02BCC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Associate Director, Patient Engagement &amp; Experience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916CC9" w14:textId="44A9B881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Examples of good practice will be included as part of PSED reporting process.</w:t>
            </w:r>
          </w:p>
        </w:tc>
      </w:tr>
      <w:tr w:rsidR="00A116D1" w:rsidRPr="001E2FDE" w14:paraId="362DC6CB" w14:textId="77777777" w:rsidTr="00DB1F9D">
        <w:trPr>
          <w:trHeight w:val="3977"/>
        </w:trPr>
        <w:tc>
          <w:tcPr>
            <w:tcW w:w="2660" w:type="dxa"/>
            <w:tcBorders>
              <w:bottom w:val="single" w:sz="4" w:space="0" w:color="auto"/>
            </w:tcBorders>
          </w:tcPr>
          <w:p w14:paraId="302979BF" w14:textId="3A202482" w:rsidR="00A116D1" w:rsidRPr="008B6413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Understand the experience of people who identify as LGBTQ+ when accessing health and care services and support.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A86CA7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Building on the findings of the Inclusion Gloucestershire report: </w:t>
            </w:r>
          </w:p>
          <w:p w14:paraId="16D763F7" w14:textId="77777777" w:rsidR="00A116D1" w:rsidRPr="00AC470A" w:rsidRDefault="00A116D1" w:rsidP="00DB1F9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AC47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Systematically gather insight into the experiences of our LGBTQ+ population when accessing health care and identify opportunities for improvement. </w:t>
            </w:r>
          </w:p>
          <w:p w14:paraId="42307438" w14:textId="65068CBF" w:rsidR="00A116D1" w:rsidRPr="00AC470A" w:rsidRDefault="00A116D1" w:rsidP="00DB1F9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AC47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Develop training resources and awareness raising for staff working in our ICB and Primary Care.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9E35350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Improved experience of health care services reported from our LGBTQ+ population. </w:t>
            </w:r>
          </w:p>
          <w:p w14:paraId="1F1EC8FA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People receiving care from specialist out-of-county services have access to local support from the point of their referral. </w:t>
            </w:r>
          </w:p>
          <w:p w14:paraId="648301AA" w14:textId="2A96F18E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Once training resources have been </w:t>
            </w:r>
            <w:r w:rsidR="004A151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developed,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we will set targets and monitor the numbers of staff accessing training.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E3C2F5" w14:textId="18F8E002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Senior Manager, Engagement &amp; Inclusion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CBC24B" w14:textId="77777777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Initial gathering of feedback completed Spring 2025. </w:t>
            </w:r>
          </w:p>
          <w:p w14:paraId="60B5B6AC" w14:textId="3C010A7E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116D1" w:rsidRPr="001E2FDE" w14:paraId="5E87412A" w14:textId="77777777" w:rsidTr="00DB1F9D">
        <w:tc>
          <w:tcPr>
            <w:tcW w:w="2660" w:type="dxa"/>
          </w:tcPr>
          <w:p w14:paraId="15301937" w14:textId="4EFBB9FF" w:rsidR="00A116D1" w:rsidRPr="008B6413" w:rsidRDefault="00A116D1" w:rsidP="00DB1F9D">
            <w:pPr>
              <w:pStyle w:val="ListParagraph"/>
              <w:numPr>
                <w:ilvl w:val="0"/>
                <w:numId w:val="7"/>
              </w:numPr>
              <w:ind w:hanging="21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034E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Improve the visibility on our website of equality information such as the protected characteristics of our Core 20 population, more case studies and equality impact assessments</w:t>
            </w:r>
          </w:p>
        </w:tc>
        <w:tc>
          <w:tcPr>
            <w:tcW w:w="4394" w:type="dxa"/>
          </w:tcPr>
          <w:p w14:paraId="714400AF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Ensure that information is widely available: </w:t>
            </w:r>
          </w:p>
          <w:p w14:paraId="58DB3222" w14:textId="77777777" w:rsidR="00A116D1" w:rsidRPr="008B6413" w:rsidRDefault="00A116D1" w:rsidP="00DB1F9D">
            <w:pPr>
              <w:pStyle w:val="ListParagraph"/>
              <w:numPr>
                <w:ilvl w:val="0"/>
                <w:numId w:val="3"/>
              </w:numPr>
              <w:tabs>
                <w:tab w:val="clear" w:pos="1069"/>
                <w:tab w:val="num" w:pos="317"/>
              </w:tabs>
              <w:ind w:left="317" w:hanging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improve access to information about health inequalities across the county</w:t>
            </w:r>
          </w:p>
          <w:p w14:paraId="6C1F263B" w14:textId="77777777" w:rsidR="00A116D1" w:rsidRPr="008B6413" w:rsidRDefault="00A116D1" w:rsidP="00DB1F9D">
            <w:pPr>
              <w:pStyle w:val="ListParagraph"/>
              <w:numPr>
                <w:ilvl w:val="0"/>
                <w:numId w:val="3"/>
              </w:numPr>
              <w:tabs>
                <w:tab w:val="clear" w:pos="1069"/>
                <w:tab w:val="num" w:pos="317"/>
              </w:tabs>
              <w:ind w:left="317" w:hanging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to support staff to complete </w:t>
            </w:r>
            <w:proofErr w:type="gramStart"/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EIAs</w:t>
            </w:r>
            <w:proofErr w:type="gramEnd"/>
          </w:p>
          <w:p w14:paraId="020A8426" w14:textId="77777777" w:rsidR="00A116D1" w:rsidRPr="008B6413" w:rsidRDefault="00A116D1" w:rsidP="00DB1F9D">
            <w:pPr>
              <w:pStyle w:val="ListParagraph"/>
              <w:numPr>
                <w:ilvl w:val="0"/>
                <w:numId w:val="3"/>
              </w:numPr>
              <w:tabs>
                <w:tab w:val="clear" w:pos="1069"/>
                <w:tab w:val="num" w:pos="317"/>
              </w:tabs>
              <w:ind w:left="317" w:hanging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inform staff about key pieces of legislation regarding equality issues</w:t>
            </w:r>
          </w:p>
          <w:p w14:paraId="687C49B1" w14:textId="0D07615D" w:rsidR="00A116D1" w:rsidRPr="008B6413" w:rsidRDefault="00A116D1" w:rsidP="00DB1F9D">
            <w:pPr>
              <w:pStyle w:val="ListParagraph"/>
              <w:numPr>
                <w:ilvl w:val="0"/>
                <w:numId w:val="3"/>
              </w:numPr>
              <w:tabs>
                <w:tab w:val="clear" w:pos="1069"/>
                <w:tab w:val="num" w:pos="317"/>
              </w:tabs>
              <w:ind w:left="317" w:hanging="28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to inform stakeholders and members of the public about the work that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is undertaking relating to equality and health inequalities issues. </w:t>
            </w:r>
          </w:p>
        </w:tc>
        <w:tc>
          <w:tcPr>
            <w:tcW w:w="4111" w:type="dxa"/>
          </w:tcPr>
          <w:p w14:paraId="03240BBC" w14:textId="6B2D755E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sections of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’s website and intranet relating to equality are reviewed and updated accordingly </w:t>
            </w:r>
          </w:p>
        </w:tc>
        <w:tc>
          <w:tcPr>
            <w:tcW w:w="2268" w:type="dxa"/>
          </w:tcPr>
          <w:p w14:paraId="18E2DC27" w14:textId="351F8601" w:rsidR="00A116D1" w:rsidRPr="008B6413" w:rsidRDefault="004A1510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Communication Manager</w:t>
            </w:r>
          </w:p>
        </w:tc>
        <w:tc>
          <w:tcPr>
            <w:tcW w:w="1560" w:type="dxa"/>
          </w:tcPr>
          <w:p w14:paraId="52248821" w14:textId="7AE02C8C" w:rsidR="00A116D1" w:rsidRPr="008B6413" w:rsidRDefault="004A1510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Initial update completed December 2024</w:t>
            </w:r>
          </w:p>
        </w:tc>
      </w:tr>
      <w:tr w:rsidR="00A116D1" w:rsidRPr="001E2FDE" w14:paraId="32C45EF0" w14:textId="77777777" w:rsidTr="00DB1F9D">
        <w:tc>
          <w:tcPr>
            <w:tcW w:w="2660" w:type="dxa"/>
          </w:tcPr>
          <w:p w14:paraId="57BBC3D4" w14:textId="4F80C717" w:rsidR="00A116D1" w:rsidRPr="00FC410E" w:rsidRDefault="00A116D1" w:rsidP="00DB1F9D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Identify disparity in the detention of people under the Mental Health Act and establish a detailed action plan in response to the findings. </w:t>
            </w:r>
          </w:p>
        </w:tc>
        <w:tc>
          <w:tcPr>
            <w:tcW w:w="4394" w:type="dxa"/>
          </w:tcPr>
          <w:p w14:paraId="746E2476" w14:textId="77777777" w:rsidR="00E80EB7" w:rsidRDefault="00E80EB7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Detailed understanding of the: </w:t>
            </w:r>
          </w:p>
          <w:p w14:paraId="44823324" w14:textId="3C718DBD" w:rsidR="00A116D1" w:rsidRPr="00E80EB7" w:rsidRDefault="00A116D1" w:rsidP="00DB1F9D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80E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inappropriate detention of people with LD / autism</w:t>
            </w:r>
            <w:r w:rsidR="00E80E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; and </w:t>
            </w:r>
          </w:p>
          <w:p w14:paraId="51F0C9BD" w14:textId="77777777" w:rsidR="00A116D1" w:rsidRDefault="00A116D1" w:rsidP="00DB1F9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C41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disproportionate detention of people from ethnic minorities under MH Act</w:t>
            </w:r>
          </w:p>
          <w:p w14:paraId="59547FE5" w14:textId="75BCFC39" w:rsidR="00A116D1" w:rsidRPr="008B6413" w:rsidRDefault="00BE1AF4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An</w:t>
            </w:r>
            <w:r w:rsidR="00E80E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action plan has been developed to tackle the inequity in our system. </w:t>
            </w:r>
          </w:p>
        </w:tc>
        <w:tc>
          <w:tcPr>
            <w:tcW w:w="4111" w:type="dxa"/>
          </w:tcPr>
          <w:p w14:paraId="3642BF0D" w14:textId="2C0C4DFF" w:rsidR="00A116D1" w:rsidRDefault="00BE1AF4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Associated programmes of work across Mental Health including: </w:t>
            </w:r>
          </w:p>
          <w:p w14:paraId="1C3E8F75" w14:textId="77777777" w:rsidR="00BE1AF4" w:rsidRPr="00BE1AF4" w:rsidRDefault="00BE1AF4" w:rsidP="00BE1AF4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E1AF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Community Mental Health Transformation Programme</w:t>
            </w:r>
          </w:p>
          <w:p w14:paraId="7047C4D5" w14:textId="77777777" w:rsidR="00BE1AF4" w:rsidRDefault="00BE1AF4" w:rsidP="00BE1AF4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E1AF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Assertive Outreach teams working with adults with Serious Mental Illness (SMI)</w:t>
            </w:r>
          </w:p>
          <w:p w14:paraId="19BB52E7" w14:textId="76EBD0EC" w:rsidR="00BE1AF4" w:rsidRPr="00BE1AF4" w:rsidRDefault="00BE1AF4" w:rsidP="00BE1AF4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Adoption of the Patient and Carer Race Equality Framework (PCREF) and Right Care Right Person. </w:t>
            </w:r>
          </w:p>
        </w:tc>
        <w:tc>
          <w:tcPr>
            <w:tcW w:w="2268" w:type="dxa"/>
          </w:tcPr>
          <w:p w14:paraId="4268322C" w14:textId="3FA8CBAE" w:rsidR="00A116D1" w:rsidRPr="008B6413" w:rsidRDefault="00B0115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011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Head of Integrated Commissioning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</w:t>
            </w:r>
            <w:r w:rsidRPr="00B011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Adult Mental Health</w:t>
            </w:r>
          </w:p>
        </w:tc>
        <w:tc>
          <w:tcPr>
            <w:tcW w:w="1560" w:type="dxa"/>
          </w:tcPr>
          <w:p w14:paraId="32599C0D" w14:textId="7777777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116D1" w:rsidRPr="001E2FDE" w14:paraId="723F361F" w14:textId="77777777" w:rsidTr="00DB1F9D">
        <w:tc>
          <w:tcPr>
            <w:tcW w:w="2660" w:type="dxa"/>
            <w:tcBorders>
              <w:bottom w:val="single" w:sz="4" w:space="0" w:color="auto"/>
            </w:tcBorders>
          </w:tcPr>
          <w:p w14:paraId="0955E0E5" w14:textId="48CE57EB" w:rsidR="00A116D1" w:rsidRPr="00C36E03" w:rsidRDefault="00A116D1" w:rsidP="00DB1F9D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hAnsi="Arial" w:cs="Arial"/>
                <w:sz w:val="24"/>
                <w:szCs w:val="24"/>
              </w:rPr>
              <w:t>Achieve the aims of the national maternity transformation plan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3BFF160" w14:textId="628BF640" w:rsidR="00A116D1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Equality &amp; Inclusion Action Plan aims:</w:t>
            </w:r>
          </w:p>
          <w:p w14:paraId="115A2FBF" w14:textId="19563C5C" w:rsidR="00A116D1" w:rsidRPr="00C36E03" w:rsidRDefault="00A116D1" w:rsidP="00DB1F9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identify, understand and reduce the inequality gap in maternity services to ensure every woman and child has equal opportunity to achieve the best possible health outcome; and</w:t>
            </w:r>
          </w:p>
          <w:p w14:paraId="4BE66FFA" w14:textId="3097298F" w:rsidR="00A116D1" w:rsidRPr="00C36E03" w:rsidRDefault="00A116D1" w:rsidP="00DB1F9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identify, understand and reduce inequalities in the experiences of staff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262AF7F" w14:textId="3222255F" w:rsidR="00A116D1" w:rsidRPr="00C36E03" w:rsidRDefault="00A116D1" w:rsidP="00DB1F9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deliver the right care the first time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EA1542F" w14:textId="63007FDB" w:rsidR="00A116D1" w:rsidRPr="00C36E03" w:rsidRDefault="00A116D1" w:rsidP="00DB1F9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For our maternity and neonatal system to commit to being an anti-racist service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F1A3BC" w14:textId="73D063A4" w:rsidR="00A116D1" w:rsidRPr="00C36E03" w:rsidRDefault="00A116D1" w:rsidP="00DB1F9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Improved outcomes and</w:t>
            </w:r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equity for mothers and babies from black, </w:t>
            </w:r>
            <w:proofErr w:type="gramStart"/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Asian</w:t>
            </w:r>
            <w:proofErr w:type="gramEnd"/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mixed ethnic groups and those living in the most deprived areas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C232A54" w14:textId="1C8B8C6E" w:rsidR="00A116D1" w:rsidRPr="00C36E03" w:rsidRDefault="00A116D1" w:rsidP="00DB1F9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Improved</w:t>
            </w:r>
            <w:r w:rsidRPr="00C36E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equality in experience for staff from minority ethnic groups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E27623E" w14:textId="21BAF053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F0D630" w14:textId="252BB318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Local Maternity and Neo-natal System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55DE55" w14:textId="0521A287" w:rsidR="00A116D1" w:rsidRPr="008B6413" w:rsidRDefault="00A116D1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Action Plan is reviewed annually, but covers the period 2022-2027</w:t>
            </w:r>
          </w:p>
        </w:tc>
      </w:tr>
    </w:tbl>
    <w:p w14:paraId="603458FE" w14:textId="77777777" w:rsidR="00034EBC" w:rsidRDefault="00034EBC"/>
    <w:p w14:paraId="6B6C2CE7" w14:textId="77777777" w:rsidR="00AC470A" w:rsidRDefault="00AC470A" w:rsidP="00AC470A"/>
    <w:tbl>
      <w:tblPr>
        <w:tblStyle w:val="TableGrid"/>
        <w:tblpPr w:leftFromText="180" w:rightFromText="180" w:vertAnchor="text" w:horzAnchor="margin" w:tblpX="-431" w:tblpY="98"/>
        <w:tblW w:w="15021" w:type="dxa"/>
        <w:tblLayout w:type="fixed"/>
        <w:tblLook w:val="04A0" w:firstRow="1" w:lastRow="0" w:firstColumn="1" w:lastColumn="0" w:noHBand="0" w:noVBand="1"/>
      </w:tblPr>
      <w:tblGrid>
        <w:gridCol w:w="2518"/>
        <w:gridCol w:w="29"/>
        <w:gridCol w:w="4365"/>
        <w:gridCol w:w="29"/>
        <w:gridCol w:w="4082"/>
        <w:gridCol w:w="29"/>
        <w:gridCol w:w="2239"/>
        <w:gridCol w:w="142"/>
        <w:gridCol w:w="1588"/>
      </w:tblGrid>
      <w:tr w:rsidR="00AC470A" w:rsidRPr="008B6413" w14:paraId="24FF6606" w14:textId="77777777" w:rsidTr="00D1768C">
        <w:trPr>
          <w:tblHeader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003776E" w14:textId="77777777" w:rsidR="00AC470A" w:rsidRPr="008B6413" w:rsidRDefault="00AC470A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100984D1" w14:textId="77777777" w:rsidR="00AC470A" w:rsidRPr="008B6413" w:rsidRDefault="00AC470A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5838EED6" w14:textId="77777777" w:rsidR="00AC470A" w:rsidRPr="008B6413" w:rsidRDefault="00AC470A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Outcome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1B2F6854" w14:textId="77777777" w:rsidR="00AC470A" w:rsidRPr="008B6413" w:rsidRDefault="00AC470A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Lead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B0F0"/>
          </w:tcPr>
          <w:p w14:paraId="04C2172A" w14:textId="77777777" w:rsidR="00AC470A" w:rsidRPr="008B6413" w:rsidRDefault="00AC470A" w:rsidP="00DB1F9D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Target completion date</w:t>
            </w:r>
          </w:p>
        </w:tc>
      </w:tr>
      <w:tr w:rsidR="00AC470A" w:rsidRPr="001E2FDE" w14:paraId="2BF1A38E" w14:textId="77777777" w:rsidTr="003431B3">
        <w:tc>
          <w:tcPr>
            <w:tcW w:w="15021" w:type="dxa"/>
            <w:gridSpan w:val="9"/>
            <w:tcBorders>
              <w:bottom w:val="single" w:sz="4" w:space="0" w:color="auto"/>
            </w:tcBorders>
          </w:tcPr>
          <w:p w14:paraId="74F9BDC2" w14:textId="76F1B63B" w:rsidR="00AC470A" w:rsidRPr="008B6413" w:rsidRDefault="00AC470A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034E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Objective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034E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– </w:t>
            </w:r>
            <w:r w:rsidR="00FE1B83" w:rsidRPr="00FE1B8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To reduce the percentage of staff experiencing discrimination at work from a manager/team leader or other colleagues in the last 12 months by at least 2% per annum over the next 3 years.</w:t>
            </w:r>
          </w:p>
        </w:tc>
      </w:tr>
      <w:tr w:rsidR="00FE1B83" w:rsidRPr="001E2FDE" w14:paraId="328963A5" w14:textId="77777777" w:rsidTr="0064440F">
        <w:trPr>
          <w:trHeight w:val="815"/>
        </w:trPr>
        <w:tc>
          <w:tcPr>
            <w:tcW w:w="2518" w:type="dxa"/>
          </w:tcPr>
          <w:p w14:paraId="793FC85B" w14:textId="498767DD" w:rsidR="00FE1B83" w:rsidRPr="00FE1B83" w:rsidRDefault="00FE1B83" w:rsidP="00FE1B83">
            <w:pPr>
              <w:pStyle w:val="ListParagraph"/>
              <w:numPr>
                <w:ilvl w:val="0"/>
                <w:numId w:val="9"/>
              </w:numPr>
              <w:ind w:left="174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 20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24/25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14.50% of </w:t>
            </w:r>
            <w:r w:rsidR="001029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staff from other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ethnic groups report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ed 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they have experienced bullying or harassment f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om their manager or a colleague.  We have set an improvement trajectory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reduce incidence</w:t>
            </w:r>
            <w:r w:rsidR="001029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for staff from global majority ethnic groups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by at least 2% per </w:t>
            </w:r>
            <w:r w:rsidR="002E640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nnum over the next 3 years. 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729CD7E7" w14:textId="1D8E6625" w:rsidR="00FE1B83" w:rsidRPr="00FE1B83" w:rsidRDefault="00FE1B83" w:rsidP="00FE1B8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In 2023 we provided EDI and cultural awareness training for ICB staff.   66/140 Senior Managers completed senior manager programme and 224/260 Band 8a and below completed either 1 or both modules.</w:t>
            </w:r>
          </w:p>
          <w:p w14:paraId="0613AFFC" w14:textId="694B81DC" w:rsidR="00FE1B83" w:rsidRPr="00FE1B83" w:rsidRDefault="00FE1B83" w:rsidP="00FE1B8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We remobilised the ICB’s BAME network and have held a number of </w:t>
            </w:r>
            <w:proofErr w:type="gramStart"/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coffee</w:t>
            </w:r>
            <w:proofErr w:type="gramEnd"/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connect sessions.</w:t>
            </w:r>
          </w:p>
          <w:p w14:paraId="1EF65501" w14:textId="07A4E37C" w:rsidR="00FE1B83" w:rsidRPr="008B6413" w:rsidRDefault="00FE1B83" w:rsidP="009A7A0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 2024 we completed a further deep dive as a follow-up to the staff survey into bullying and harassment and have developed 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set of additional actions including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development of </w:t>
            </w:r>
            <w:r w:rsidRPr="00FE1B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materials for anti-discrimination campaign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111" w:type="dxa"/>
            <w:gridSpan w:val="2"/>
          </w:tcPr>
          <w:p w14:paraId="6B27CA46" w14:textId="77777777" w:rsidR="00FE1B83" w:rsidRPr="008B6413" w:rsidRDefault="00FE1B83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7087C122" w14:textId="06046768" w:rsidR="00FE1B83" w:rsidRPr="008B6413" w:rsidRDefault="00D1768C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Director: People Culture &amp; Engagement</w:t>
            </w:r>
          </w:p>
        </w:tc>
        <w:tc>
          <w:tcPr>
            <w:tcW w:w="1730" w:type="dxa"/>
            <w:gridSpan w:val="2"/>
          </w:tcPr>
          <w:p w14:paraId="23093029" w14:textId="402AFA88" w:rsidR="00FE1B83" w:rsidRPr="008B6413" w:rsidRDefault="00D1768C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Reviewed annually, with targets set until 2027</w:t>
            </w:r>
          </w:p>
        </w:tc>
      </w:tr>
      <w:tr w:rsidR="00065A6D" w:rsidRPr="001E2FDE" w14:paraId="7654C3B6" w14:textId="77777777" w:rsidTr="003431B3">
        <w:trPr>
          <w:trHeight w:val="2209"/>
        </w:trPr>
        <w:tc>
          <w:tcPr>
            <w:tcW w:w="2518" w:type="dxa"/>
          </w:tcPr>
          <w:p w14:paraId="25DE2089" w14:textId="5C7FC538" w:rsidR="00065A6D" w:rsidRPr="008B6413" w:rsidRDefault="00065A6D" w:rsidP="00FE1B83">
            <w:pPr>
              <w:pStyle w:val="ListParagraph"/>
              <w:numPr>
                <w:ilvl w:val="0"/>
                <w:numId w:val="9"/>
              </w:numPr>
              <w:ind w:left="174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</w:t>
            </w:r>
            <w:r w:rsidR="003F70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leadership promotes an open culture, demonstrating appropriate skills relating to equality and reduction in health inequalities.</w:t>
            </w:r>
          </w:p>
        </w:tc>
        <w:tc>
          <w:tcPr>
            <w:tcW w:w="4394" w:type="dxa"/>
            <w:gridSpan w:val="2"/>
          </w:tcPr>
          <w:p w14:paraId="5592ED87" w14:textId="5B829CC1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Senior leaders routinely demonstrate their commitment to promoting equality and reducing health inequalities within and beyond G</w:t>
            </w:r>
            <w:r w:rsidR="003F70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ICB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111" w:type="dxa"/>
            <w:gridSpan w:val="2"/>
          </w:tcPr>
          <w:p w14:paraId="00AF3202" w14:textId="0666BFF6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Papers that come before the </w:t>
            </w:r>
            <w:r w:rsidR="003F70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Board</w:t>
            </w: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Committee identify equality-related risks and steps taken to mitigate against these. </w:t>
            </w:r>
          </w:p>
          <w:p w14:paraId="5C1E21A9" w14:textId="0C051AD6" w:rsidR="00065A6D" w:rsidRPr="008B6413" w:rsidRDefault="00D1768C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GICB leadership is reflective of the community it serves.  Senior leaders advocate for, and actively participate in, work to promote equality and reduce inequalities. </w:t>
            </w:r>
          </w:p>
        </w:tc>
        <w:tc>
          <w:tcPr>
            <w:tcW w:w="2268" w:type="dxa"/>
            <w:gridSpan w:val="2"/>
          </w:tcPr>
          <w:p w14:paraId="58E72BCD" w14:textId="77777777" w:rsidR="00065A6D" w:rsidRDefault="00123EB6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GICB Board and Senior Leaders. </w:t>
            </w:r>
          </w:p>
          <w:p w14:paraId="0AFE2D4F" w14:textId="7A77B150" w:rsidR="00123EB6" w:rsidRPr="008B6413" w:rsidRDefault="00123EB6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Equality and health inequalities oversight group. </w:t>
            </w:r>
          </w:p>
        </w:tc>
        <w:tc>
          <w:tcPr>
            <w:tcW w:w="1730" w:type="dxa"/>
            <w:gridSpan w:val="2"/>
          </w:tcPr>
          <w:p w14:paraId="541CF7A1" w14:textId="77777777" w:rsidR="00065A6D" w:rsidRPr="008B6413" w:rsidRDefault="00065A6D" w:rsidP="00DB1F9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B64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Examples of good practice will be included as part of PSED reporting process.</w:t>
            </w:r>
          </w:p>
        </w:tc>
      </w:tr>
    </w:tbl>
    <w:p w14:paraId="3FA52377" w14:textId="77777777" w:rsidR="00AE3CEC" w:rsidRDefault="00AE3CEC"/>
    <w:sectPr w:rsidR="00AE3CEC" w:rsidSect="0006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EC35" w14:textId="77777777" w:rsidR="0081020D" w:rsidRDefault="0081020D" w:rsidP="0081020D">
      <w:pPr>
        <w:spacing w:after="0" w:line="240" w:lineRule="auto"/>
      </w:pPr>
      <w:r>
        <w:separator/>
      </w:r>
    </w:p>
  </w:endnote>
  <w:endnote w:type="continuationSeparator" w:id="0">
    <w:p w14:paraId="2A8F5D6E" w14:textId="77777777" w:rsidR="0081020D" w:rsidRDefault="0081020D" w:rsidP="0081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1D2" w14:textId="77777777" w:rsidR="0081020D" w:rsidRDefault="008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EDF4" w14:textId="77777777" w:rsidR="0081020D" w:rsidRDefault="00810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C8B5" w14:textId="77777777" w:rsidR="0081020D" w:rsidRDefault="008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355B" w14:textId="77777777" w:rsidR="0081020D" w:rsidRDefault="0081020D" w:rsidP="0081020D">
      <w:pPr>
        <w:spacing w:after="0" w:line="240" w:lineRule="auto"/>
      </w:pPr>
      <w:r>
        <w:separator/>
      </w:r>
    </w:p>
  </w:footnote>
  <w:footnote w:type="continuationSeparator" w:id="0">
    <w:p w14:paraId="3919EA6C" w14:textId="77777777" w:rsidR="0081020D" w:rsidRDefault="0081020D" w:rsidP="0081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E95C" w14:textId="77777777" w:rsidR="0081020D" w:rsidRDefault="008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23009"/>
      <w:docPartObj>
        <w:docPartGallery w:val="Watermarks"/>
        <w:docPartUnique/>
      </w:docPartObj>
    </w:sdtPr>
    <w:sdtEndPr/>
    <w:sdtContent>
      <w:p w14:paraId="2713E637" w14:textId="0E482AE4" w:rsidR="0081020D" w:rsidRDefault="0064440F">
        <w:pPr>
          <w:pStyle w:val="Header"/>
        </w:pPr>
        <w:r>
          <w:rPr>
            <w:noProof/>
          </w:rPr>
          <w:pict w14:anchorId="3475AA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660" w14:textId="77777777" w:rsidR="0081020D" w:rsidRDefault="008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AE4"/>
    <w:multiLevelType w:val="hybridMultilevel"/>
    <w:tmpl w:val="C85C2BA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C5076"/>
    <w:multiLevelType w:val="hybridMultilevel"/>
    <w:tmpl w:val="E0B8B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64EAF"/>
    <w:multiLevelType w:val="multilevel"/>
    <w:tmpl w:val="368E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97AF4"/>
    <w:multiLevelType w:val="hybridMultilevel"/>
    <w:tmpl w:val="4ECE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7014"/>
    <w:multiLevelType w:val="hybridMultilevel"/>
    <w:tmpl w:val="E7207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64FC6"/>
    <w:multiLevelType w:val="multilevel"/>
    <w:tmpl w:val="368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C5A20"/>
    <w:multiLevelType w:val="hybridMultilevel"/>
    <w:tmpl w:val="A71412A6"/>
    <w:lvl w:ilvl="0" w:tplc="A6CC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45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40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A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2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C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C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8C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B925AE"/>
    <w:multiLevelType w:val="multilevel"/>
    <w:tmpl w:val="368E6D7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F3209"/>
    <w:multiLevelType w:val="hybridMultilevel"/>
    <w:tmpl w:val="0E88DFF8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E30DBE"/>
    <w:multiLevelType w:val="hybridMultilevel"/>
    <w:tmpl w:val="EB6AF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AC2542"/>
    <w:multiLevelType w:val="multilevel"/>
    <w:tmpl w:val="368E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873D5"/>
    <w:multiLevelType w:val="hybridMultilevel"/>
    <w:tmpl w:val="FB7C7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177ED"/>
    <w:multiLevelType w:val="multilevel"/>
    <w:tmpl w:val="2764A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36A7A"/>
    <w:multiLevelType w:val="hybridMultilevel"/>
    <w:tmpl w:val="12E64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9206B8"/>
    <w:multiLevelType w:val="hybridMultilevel"/>
    <w:tmpl w:val="3D4AC9C0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30156"/>
    <w:multiLevelType w:val="hybridMultilevel"/>
    <w:tmpl w:val="F7A4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D6878"/>
    <w:multiLevelType w:val="hybridMultilevel"/>
    <w:tmpl w:val="28F0DF5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804265"/>
    <w:multiLevelType w:val="hybridMultilevel"/>
    <w:tmpl w:val="D7E0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167024">
    <w:abstractNumId w:val="9"/>
  </w:num>
  <w:num w:numId="2" w16cid:durableId="821778974">
    <w:abstractNumId w:val="5"/>
  </w:num>
  <w:num w:numId="3" w16cid:durableId="89394914">
    <w:abstractNumId w:val="7"/>
  </w:num>
  <w:num w:numId="4" w16cid:durableId="761611352">
    <w:abstractNumId w:val="10"/>
  </w:num>
  <w:num w:numId="5" w16cid:durableId="968432284">
    <w:abstractNumId w:val="2"/>
  </w:num>
  <w:num w:numId="6" w16cid:durableId="304433054">
    <w:abstractNumId w:val="8"/>
  </w:num>
  <w:num w:numId="7" w16cid:durableId="1302541606">
    <w:abstractNumId w:val="14"/>
  </w:num>
  <w:num w:numId="8" w16cid:durableId="700515980">
    <w:abstractNumId w:val="0"/>
  </w:num>
  <w:num w:numId="9" w16cid:durableId="1777867564">
    <w:abstractNumId w:val="16"/>
  </w:num>
  <w:num w:numId="10" w16cid:durableId="2033340268">
    <w:abstractNumId w:val="3"/>
  </w:num>
  <w:num w:numId="11" w16cid:durableId="145512693">
    <w:abstractNumId w:val="15"/>
  </w:num>
  <w:num w:numId="12" w16cid:durableId="252979106">
    <w:abstractNumId w:val="12"/>
  </w:num>
  <w:num w:numId="13" w16cid:durableId="642392008">
    <w:abstractNumId w:val="13"/>
  </w:num>
  <w:num w:numId="14" w16cid:durableId="1467353291">
    <w:abstractNumId w:val="1"/>
  </w:num>
  <w:num w:numId="15" w16cid:durableId="680593766">
    <w:abstractNumId w:val="4"/>
  </w:num>
  <w:num w:numId="16" w16cid:durableId="2121335944">
    <w:abstractNumId w:val="17"/>
  </w:num>
  <w:num w:numId="17" w16cid:durableId="30035231">
    <w:abstractNumId w:val="11"/>
  </w:num>
  <w:num w:numId="18" w16cid:durableId="269775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6D"/>
    <w:rsid w:val="00024EBD"/>
    <w:rsid w:val="00034EBC"/>
    <w:rsid w:val="00065A6D"/>
    <w:rsid w:val="000D7B9E"/>
    <w:rsid w:val="00101636"/>
    <w:rsid w:val="0010297F"/>
    <w:rsid w:val="00113362"/>
    <w:rsid w:val="001134B0"/>
    <w:rsid w:val="00123EB6"/>
    <w:rsid w:val="00142EAE"/>
    <w:rsid w:val="00153665"/>
    <w:rsid w:val="002E640C"/>
    <w:rsid w:val="002E7B42"/>
    <w:rsid w:val="002F241D"/>
    <w:rsid w:val="003431B3"/>
    <w:rsid w:val="003F705F"/>
    <w:rsid w:val="00455AAA"/>
    <w:rsid w:val="004A0CE3"/>
    <w:rsid w:val="004A1510"/>
    <w:rsid w:val="00624B3E"/>
    <w:rsid w:val="0064440F"/>
    <w:rsid w:val="006464B4"/>
    <w:rsid w:val="006B38BA"/>
    <w:rsid w:val="006D587D"/>
    <w:rsid w:val="006E0606"/>
    <w:rsid w:val="0081020D"/>
    <w:rsid w:val="0093213C"/>
    <w:rsid w:val="009A7A03"/>
    <w:rsid w:val="00A116D1"/>
    <w:rsid w:val="00A851D4"/>
    <w:rsid w:val="00AB7285"/>
    <w:rsid w:val="00AC470A"/>
    <w:rsid w:val="00AD51C1"/>
    <w:rsid w:val="00AE0B8E"/>
    <w:rsid w:val="00AE3CEC"/>
    <w:rsid w:val="00B0115D"/>
    <w:rsid w:val="00B729BE"/>
    <w:rsid w:val="00BE1AF4"/>
    <w:rsid w:val="00C36E03"/>
    <w:rsid w:val="00C56EAA"/>
    <w:rsid w:val="00D1768C"/>
    <w:rsid w:val="00DB1F9D"/>
    <w:rsid w:val="00E80EB7"/>
    <w:rsid w:val="00F25506"/>
    <w:rsid w:val="00FC410E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18C1EB"/>
  <w15:chartTrackingRefBased/>
  <w15:docId w15:val="{3CCD7430-19B4-4356-A0AF-4E45B4D5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6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6D"/>
    <w:pPr>
      <w:ind w:left="720"/>
      <w:contextualSpacing/>
    </w:pPr>
  </w:style>
  <w:style w:type="table" w:styleId="TableGrid">
    <w:name w:val="Table Grid"/>
    <w:basedOn w:val="TableNormal"/>
    <w:uiPriority w:val="59"/>
    <w:rsid w:val="00065A6D"/>
    <w:pPr>
      <w:spacing w:after="200" w:line="276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0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0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Caroline (NHS GLOUCESTERSHIRE ICB - 11M)</dc:creator>
  <cp:keywords/>
  <dc:description/>
  <cp:lastModifiedBy>SMITH, Caroline (NHS GLOUCESTERSHIRE ICB - 11M)</cp:lastModifiedBy>
  <cp:revision>33</cp:revision>
  <dcterms:created xsi:type="dcterms:W3CDTF">2024-09-04T18:02:00Z</dcterms:created>
  <dcterms:modified xsi:type="dcterms:W3CDTF">2024-10-02T20:36:00Z</dcterms:modified>
</cp:coreProperties>
</file>