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75574" w14:textId="2B658694" w:rsidR="000E24AD" w:rsidRDefault="000E24AD" w:rsidP="00D867AB">
      <w:pPr>
        <w:shd w:val="clear" w:color="auto" w:fill="FFFFFF"/>
        <w:spacing w:before="100" w:beforeAutospacing="1" w:after="120" w:line="240" w:lineRule="auto"/>
        <w:outlineLvl w:val="1"/>
        <w:rPr>
          <w:rFonts w:ascii="Arial" w:eastAsia="Times New Roman" w:hAnsi="Arial" w:cs="Arial"/>
          <w:noProof/>
          <w:color w:val="212B32"/>
          <w:kern w:val="0"/>
          <w:sz w:val="24"/>
          <w:szCs w:val="24"/>
          <w:lang w:eastAsia="en-GB"/>
        </w:rPr>
      </w:pPr>
      <w:r>
        <w:rPr>
          <w:rFonts w:ascii="Arial" w:eastAsia="Times New Roman" w:hAnsi="Arial" w:cs="Arial"/>
          <w:noProof/>
          <w:color w:val="212B32"/>
          <w:kern w:val="0"/>
          <w:sz w:val="24"/>
          <w:szCs w:val="24"/>
          <w:lang w:eastAsia="en-GB"/>
        </w:rPr>
        <w:drawing>
          <wp:anchor distT="0" distB="0" distL="114300" distR="114300" simplePos="0" relativeHeight="251658240" behindDoc="1" locked="0" layoutInCell="1" allowOverlap="1" wp14:anchorId="60BC3965" wp14:editId="2940E567">
            <wp:simplePos x="0" y="0"/>
            <wp:positionH relativeFrom="column">
              <wp:posOffset>4336415</wp:posOffset>
            </wp:positionH>
            <wp:positionV relativeFrom="paragraph">
              <wp:posOffset>54610</wp:posOffset>
            </wp:positionV>
            <wp:extent cx="1921510" cy="683895"/>
            <wp:effectExtent l="0" t="0" r="2540" b="1905"/>
            <wp:wrapTight wrapText="bothSides">
              <wp:wrapPolygon edited="0">
                <wp:start x="0" y="0"/>
                <wp:lineTo x="0" y="21058"/>
                <wp:lineTo x="21414" y="21058"/>
                <wp:lineTo x="21414" y="0"/>
                <wp:lineTo x="0" y="0"/>
              </wp:wrapPolygon>
            </wp:wrapTight>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921510" cy="683895"/>
                    </a:xfrm>
                    <a:prstGeom prst="rect">
                      <a:avLst/>
                    </a:prstGeom>
                  </pic:spPr>
                </pic:pic>
              </a:graphicData>
            </a:graphic>
            <wp14:sizeRelH relativeFrom="page">
              <wp14:pctWidth>0</wp14:pctWidth>
            </wp14:sizeRelH>
            <wp14:sizeRelV relativeFrom="page">
              <wp14:pctHeight>0</wp14:pctHeight>
            </wp14:sizeRelV>
          </wp:anchor>
        </w:drawing>
      </w:r>
    </w:p>
    <w:p w14:paraId="7BD0E0F1" w14:textId="41566B77" w:rsidR="000E24AD" w:rsidRDefault="000E24AD" w:rsidP="00D867AB">
      <w:pPr>
        <w:shd w:val="clear" w:color="auto" w:fill="FFFFFF"/>
        <w:spacing w:before="100" w:beforeAutospacing="1" w:after="120" w:line="240" w:lineRule="auto"/>
        <w:outlineLvl w:val="1"/>
        <w:rPr>
          <w:rFonts w:ascii="Arial" w:eastAsia="Times New Roman" w:hAnsi="Arial" w:cs="Arial"/>
          <w:b/>
          <w:bCs/>
          <w:color w:val="212B32"/>
          <w:kern w:val="0"/>
          <w:sz w:val="40"/>
          <w:szCs w:val="40"/>
          <w:lang w:eastAsia="en-GB"/>
          <w14:ligatures w14:val="none"/>
        </w:rPr>
      </w:pPr>
    </w:p>
    <w:p w14:paraId="2129DE8A" w14:textId="77777777" w:rsidR="000E24AD" w:rsidRPr="000E24AD" w:rsidRDefault="000E24AD" w:rsidP="00D867AB">
      <w:pPr>
        <w:shd w:val="clear" w:color="auto" w:fill="FFFFFF"/>
        <w:spacing w:before="100" w:beforeAutospacing="1" w:after="120" w:line="240" w:lineRule="auto"/>
        <w:outlineLvl w:val="1"/>
        <w:rPr>
          <w:rFonts w:ascii="Arial" w:eastAsia="Times New Roman" w:hAnsi="Arial" w:cs="Arial"/>
          <w:b/>
          <w:bCs/>
          <w:color w:val="212B32"/>
          <w:kern w:val="0"/>
          <w:sz w:val="24"/>
          <w:szCs w:val="24"/>
          <w:lang w:eastAsia="en-GB"/>
          <w14:ligatures w14:val="none"/>
        </w:rPr>
      </w:pPr>
    </w:p>
    <w:p w14:paraId="3B465580" w14:textId="08D6528F" w:rsidR="00D867AB" w:rsidRPr="00D46745" w:rsidRDefault="000E24AD" w:rsidP="00D867AB">
      <w:pPr>
        <w:shd w:val="clear" w:color="auto" w:fill="FFFFFF"/>
        <w:spacing w:before="100" w:beforeAutospacing="1" w:after="120" w:line="240" w:lineRule="auto"/>
        <w:outlineLvl w:val="1"/>
        <w:rPr>
          <w:rFonts w:ascii="Arial" w:eastAsia="Times New Roman" w:hAnsi="Arial" w:cs="Arial"/>
          <w:b/>
          <w:bCs/>
          <w:color w:val="212B32"/>
          <w:kern w:val="0"/>
          <w:sz w:val="28"/>
          <w:szCs w:val="28"/>
          <w:lang w:eastAsia="en-GB"/>
          <w14:ligatures w14:val="none"/>
        </w:rPr>
      </w:pPr>
      <w:r w:rsidRPr="00D46745">
        <w:rPr>
          <w:rFonts w:ascii="Arial" w:eastAsia="Times New Roman" w:hAnsi="Arial" w:cs="Arial"/>
          <w:b/>
          <w:bCs/>
          <w:color w:val="212B32"/>
          <w:kern w:val="0"/>
          <w:sz w:val="28"/>
          <w:szCs w:val="28"/>
          <w:lang w:eastAsia="en-GB"/>
          <w14:ligatures w14:val="none"/>
        </w:rPr>
        <w:t xml:space="preserve">Appendix 3: </w:t>
      </w:r>
      <w:r w:rsidR="00D867AB" w:rsidRPr="00D46745">
        <w:rPr>
          <w:rFonts w:ascii="Arial" w:eastAsia="Times New Roman" w:hAnsi="Arial" w:cs="Arial"/>
          <w:b/>
          <w:bCs/>
          <w:color w:val="212B32"/>
          <w:kern w:val="0"/>
          <w:sz w:val="28"/>
          <w:szCs w:val="28"/>
          <w:lang w:eastAsia="en-GB"/>
          <w14:ligatures w14:val="none"/>
        </w:rPr>
        <w:t>The Equality Delivery System</w:t>
      </w:r>
    </w:p>
    <w:p w14:paraId="144ADFE7" w14:textId="255603E6" w:rsidR="00D867AB" w:rsidRDefault="00D867AB" w:rsidP="00D867AB">
      <w:pPr>
        <w:shd w:val="clear" w:color="auto" w:fill="FFFFFF"/>
        <w:spacing w:after="0" w:line="360" w:lineRule="auto"/>
        <w:rPr>
          <w:rFonts w:ascii="Arial" w:eastAsia="Times New Roman" w:hAnsi="Arial" w:cs="Arial"/>
          <w:color w:val="212B32"/>
          <w:kern w:val="0"/>
          <w:sz w:val="24"/>
          <w:szCs w:val="24"/>
          <w:lang w:eastAsia="en-GB"/>
          <w14:ligatures w14:val="none"/>
        </w:rPr>
      </w:pPr>
      <w:r w:rsidRPr="00553E55">
        <w:rPr>
          <w:rFonts w:ascii="Arial" w:eastAsia="Times New Roman" w:hAnsi="Arial" w:cs="Arial"/>
          <w:color w:val="212B32"/>
          <w:kern w:val="0"/>
          <w:sz w:val="24"/>
          <w:szCs w:val="24"/>
          <w:lang w:eastAsia="en-GB"/>
          <w14:ligatures w14:val="none"/>
        </w:rPr>
        <w:t>The Equality Delivery System (EDS) helps NHS organisations improve the services they provide for their local communities and provide better working environments, free of discrimination, for those who work in the NHS, while meeting the requirements of the Equality Act 2010.</w:t>
      </w:r>
    </w:p>
    <w:p w14:paraId="34CC8124" w14:textId="77777777" w:rsidR="00D867AB" w:rsidRPr="00553E55" w:rsidRDefault="00D867AB" w:rsidP="00D867AB">
      <w:pPr>
        <w:shd w:val="clear" w:color="auto" w:fill="FFFFFF"/>
        <w:spacing w:after="0" w:line="360" w:lineRule="auto"/>
        <w:rPr>
          <w:rFonts w:ascii="Arial" w:eastAsia="Times New Roman" w:hAnsi="Arial" w:cs="Arial"/>
          <w:color w:val="212B32"/>
          <w:kern w:val="0"/>
          <w:sz w:val="24"/>
          <w:szCs w:val="24"/>
          <w:lang w:eastAsia="en-GB"/>
          <w14:ligatures w14:val="none"/>
        </w:rPr>
      </w:pPr>
    </w:p>
    <w:p w14:paraId="177C5093" w14:textId="51269D99" w:rsidR="00D867AB" w:rsidRPr="00553E55" w:rsidRDefault="00D867AB" w:rsidP="00D867AB">
      <w:pPr>
        <w:shd w:val="clear" w:color="auto" w:fill="FFFFFF"/>
        <w:spacing w:after="0" w:line="360" w:lineRule="auto"/>
        <w:rPr>
          <w:rFonts w:ascii="Arial" w:eastAsia="Times New Roman" w:hAnsi="Arial" w:cs="Arial"/>
          <w:color w:val="212B32"/>
          <w:kern w:val="0"/>
          <w:sz w:val="24"/>
          <w:szCs w:val="24"/>
          <w:lang w:eastAsia="en-GB"/>
          <w14:ligatures w14:val="none"/>
        </w:rPr>
      </w:pPr>
      <w:r w:rsidRPr="00553E55">
        <w:rPr>
          <w:rFonts w:ascii="Arial" w:eastAsia="Times New Roman" w:hAnsi="Arial" w:cs="Arial"/>
          <w:color w:val="212B32"/>
          <w:kern w:val="0"/>
          <w:sz w:val="24"/>
          <w:szCs w:val="24"/>
          <w:lang w:eastAsia="en-GB"/>
          <w14:ligatures w14:val="none"/>
        </w:rPr>
        <w:t>The EDS comprises eleven outcomes spread across three Domains:</w:t>
      </w:r>
    </w:p>
    <w:p w14:paraId="172BDEF6" w14:textId="77777777" w:rsidR="00D867AB" w:rsidRPr="00553E55" w:rsidRDefault="00D867AB" w:rsidP="00D867AB">
      <w:pPr>
        <w:numPr>
          <w:ilvl w:val="0"/>
          <w:numId w:val="1"/>
        </w:numPr>
        <w:shd w:val="clear" w:color="auto" w:fill="FFFFFF"/>
        <w:spacing w:after="0" w:line="360" w:lineRule="auto"/>
        <w:rPr>
          <w:rFonts w:ascii="Arial" w:eastAsia="Times New Roman" w:hAnsi="Arial" w:cs="Arial"/>
          <w:color w:val="212B32"/>
          <w:kern w:val="0"/>
          <w:sz w:val="24"/>
          <w:szCs w:val="24"/>
          <w:lang w:eastAsia="en-GB"/>
          <w14:ligatures w14:val="none"/>
        </w:rPr>
      </w:pPr>
      <w:r w:rsidRPr="00553E55">
        <w:rPr>
          <w:rFonts w:ascii="Arial" w:eastAsia="Times New Roman" w:hAnsi="Arial" w:cs="Arial"/>
          <w:color w:val="212B32"/>
          <w:kern w:val="0"/>
          <w:sz w:val="24"/>
          <w:szCs w:val="24"/>
          <w:lang w:eastAsia="en-GB"/>
          <w14:ligatures w14:val="none"/>
        </w:rPr>
        <w:t xml:space="preserve">Commissioned or provided </w:t>
      </w:r>
      <w:proofErr w:type="gramStart"/>
      <w:r w:rsidRPr="00553E55">
        <w:rPr>
          <w:rFonts w:ascii="Arial" w:eastAsia="Times New Roman" w:hAnsi="Arial" w:cs="Arial"/>
          <w:color w:val="212B32"/>
          <w:kern w:val="0"/>
          <w:sz w:val="24"/>
          <w:szCs w:val="24"/>
          <w:lang w:eastAsia="en-GB"/>
          <w14:ligatures w14:val="none"/>
        </w:rPr>
        <w:t>services</w:t>
      </w:r>
      <w:proofErr w:type="gramEnd"/>
    </w:p>
    <w:p w14:paraId="091548C1" w14:textId="77777777" w:rsidR="00D867AB" w:rsidRPr="00553E55" w:rsidRDefault="00D867AB" w:rsidP="00D867AB">
      <w:pPr>
        <w:numPr>
          <w:ilvl w:val="0"/>
          <w:numId w:val="1"/>
        </w:numPr>
        <w:shd w:val="clear" w:color="auto" w:fill="FFFFFF"/>
        <w:spacing w:after="0" w:line="360" w:lineRule="auto"/>
        <w:rPr>
          <w:rFonts w:ascii="Arial" w:eastAsia="Times New Roman" w:hAnsi="Arial" w:cs="Arial"/>
          <w:color w:val="212B32"/>
          <w:kern w:val="0"/>
          <w:sz w:val="24"/>
          <w:szCs w:val="24"/>
          <w:lang w:eastAsia="en-GB"/>
          <w14:ligatures w14:val="none"/>
        </w:rPr>
      </w:pPr>
      <w:r w:rsidRPr="00553E55">
        <w:rPr>
          <w:rFonts w:ascii="Arial" w:eastAsia="Times New Roman" w:hAnsi="Arial" w:cs="Arial"/>
          <w:color w:val="212B32"/>
          <w:kern w:val="0"/>
          <w:sz w:val="24"/>
          <w:szCs w:val="24"/>
          <w:lang w:eastAsia="en-GB"/>
          <w14:ligatures w14:val="none"/>
        </w:rPr>
        <w:t>Workforce health and well-being</w:t>
      </w:r>
    </w:p>
    <w:p w14:paraId="1094CF3C" w14:textId="77777777" w:rsidR="00D867AB" w:rsidRDefault="00D867AB" w:rsidP="00D867AB">
      <w:pPr>
        <w:numPr>
          <w:ilvl w:val="0"/>
          <w:numId w:val="1"/>
        </w:numPr>
        <w:shd w:val="clear" w:color="auto" w:fill="FFFFFF"/>
        <w:spacing w:after="0" w:line="360" w:lineRule="auto"/>
        <w:rPr>
          <w:rFonts w:ascii="Arial" w:eastAsia="Times New Roman" w:hAnsi="Arial" w:cs="Arial"/>
          <w:color w:val="212B32"/>
          <w:kern w:val="0"/>
          <w:sz w:val="24"/>
          <w:szCs w:val="24"/>
          <w:lang w:eastAsia="en-GB"/>
          <w14:ligatures w14:val="none"/>
        </w:rPr>
      </w:pPr>
      <w:r w:rsidRPr="00553E55">
        <w:rPr>
          <w:rFonts w:ascii="Arial" w:eastAsia="Times New Roman" w:hAnsi="Arial" w:cs="Arial"/>
          <w:color w:val="212B32"/>
          <w:kern w:val="0"/>
          <w:sz w:val="24"/>
          <w:szCs w:val="24"/>
          <w:lang w:eastAsia="en-GB"/>
          <w14:ligatures w14:val="none"/>
        </w:rPr>
        <w:t>Inclusive leadership.</w:t>
      </w:r>
    </w:p>
    <w:p w14:paraId="53B924B7" w14:textId="77777777" w:rsidR="00D867AB" w:rsidRPr="00553E55" w:rsidRDefault="00D867AB" w:rsidP="00D867AB">
      <w:pPr>
        <w:shd w:val="clear" w:color="auto" w:fill="FFFFFF"/>
        <w:spacing w:after="0" w:line="360" w:lineRule="auto"/>
        <w:ind w:left="360"/>
        <w:rPr>
          <w:rFonts w:ascii="Arial" w:eastAsia="Times New Roman" w:hAnsi="Arial" w:cs="Arial"/>
          <w:color w:val="212B32"/>
          <w:kern w:val="0"/>
          <w:sz w:val="24"/>
          <w:szCs w:val="24"/>
          <w:lang w:eastAsia="en-GB"/>
          <w14:ligatures w14:val="none"/>
        </w:rPr>
      </w:pPr>
    </w:p>
    <w:p w14:paraId="37DEF056" w14:textId="77777777" w:rsidR="00D867AB" w:rsidRDefault="00D867AB" w:rsidP="00D867AB">
      <w:pPr>
        <w:shd w:val="clear" w:color="auto" w:fill="FFFFFF"/>
        <w:spacing w:after="0" w:line="360" w:lineRule="auto"/>
        <w:rPr>
          <w:rFonts w:ascii="Arial" w:eastAsia="Times New Roman" w:hAnsi="Arial" w:cs="Arial"/>
          <w:color w:val="212B32"/>
          <w:kern w:val="0"/>
          <w:sz w:val="24"/>
          <w:szCs w:val="24"/>
          <w:lang w:eastAsia="en-GB"/>
          <w14:ligatures w14:val="none"/>
        </w:rPr>
      </w:pPr>
      <w:r w:rsidRPr="00553E55">
        <w:rPr>
          <w:rFonts w:ascii="Arial" w:eastAsia="Times New Roman" w:hAnsi="Arial" w:cs="Arial"/>
          <w:color w:val="212B32"/>
          <w:kern w:val="0"/>
          <w:sz w:val="24"/>
          <w:szCs w:val="24"/>
          <w:lang w:eastAsia="en-GB"/>
          <w14:ligatures w14:val="none"/>
        </w:rPr>
        <w:t xml:space="preserve">Through discussion with local partners, staff and patient representatives our performance against these outcomes </w:t>
      </w:r>
      <w:proofErr w:type="gramStart"/>
      <w:r w:rsidRPr="00553E55">
        <w:rPr>
          <w:rFonts w:ascii="Arial" w:eastAsia="Times New Roman" w:hAnsi="Arial" w:cs="Arial"/>
          <w:color w:val="212B32"/>
          <w:kern w:val="0"/>
          <w:sz w:val="24"/>
          <w:szCs w:val="24"/>
          <w:lang w:eastAsia="en-GB"/>
          <w14:ligatures w14:val="none"/>
        </w:rPr>
        <w:t>are</w:t>
      </w:r>
      <w:proofErr w:type="gramEnd"/>
      <w:r w:rsidRPr="00553E55">
        <w:rPr>
          <w:rFonts w:ascii="Arial" w:eastAsia="Times New Roman" w:hAnsi="Arial" w:cs="Arial"/>
          <w:color w:val="212B32"/>
          <w:kern w:val="0"/>
          <w:sz w:val="24"/>
          <w:szCs w:val="24"/>
          <w:lang w:eastAsia="en-GB"/>
          <w14:ligatures w14:val="none"/>
        </w:rPr>
        <w:t xml:space="preserve"> evaluated, scored, and rated using available evidence and insight.  Our latest evaluation is reported below and detailed in the EDS reporting template.</w:t>
      </w:r>
    </w:p>
    <w:p w14:paraId="3E06AB52" w14:textId="77777777" w:rsidR="00D867AB" w:rsidRDefault="00D867AB" w:rsidP="00D867AB">
      <w:pPr>
        <w:shd w:val="clear" w:color="auto" w:fill="FFFFFF"/>
        <w:spacing w:after="0" w:line="360" w:lineRule="auto"/>
        <w:rPr>
          <w:rFonts w:ascii="Arial" w:eastAsia="Times New Roman" w:hAnsi="Arial" w:cs="Arial"/>
          <w:color w:val="212B32"/>
          <w:kern w:val="0"/>
          <w:sz w:val="24"/>
          <w:szCs w:val="24"/>
          <w:lang w:eastAsia="en-GB"/>
          <w14:ligatures w14:val="none"/>
        </w:rPr>
      </w:pPr>
    </w:p>
    <w:p w14:paraId="2B21B3F7" w14:textId="77777777" w:rsidR="00D867AB" w:rsidRPr="00D867AB" w:rsidRDefault="00D46745" w:rsidP="00D867AB">
      <w:pPr>
        <w:pStyle w:val="ListParagraph"/>
        <w:numPr>
          <w:ilvl w:val="0"/>
          <w:numId w:val="3"/>
        </w:numPr>
        <w:spacing w:after="0" w:line="360" w:lineRule="auto"/>
        <w:rPr>
          <w:rFonts w:ascii="Arial" w:hAnsi="Arial" w:cs="Arial"/>
          <w:sz w:val="24"/>
          <w:szCs w:val="24"/>
        </w:rPr>
      </w:pPr>
      <w:hyperlink r:id="rId6" w:tgtFrame="_blank" w:history="1">
        <w:r w:rsidR="00D867AB" w:rsidRPr="00D867AB">
          <w:rPr>
            <w:rStyle w:val="Hyperlink"/>
            <w:rFonts w:ascii="Arial" w:hAnsi="Arial" w:cs="Arial"/>
            <w:sz w:val="24"/>
            <w:szCs w:val="24"/>
          </w:rPr>
          <w:t>Equality Delivery System</w:t>
        </w:r>
      </w:hyperlink>
      <w:r w:rsidR="00D867AB" w:rsidRPr="00D867AB">
        <w:rPr>
          <w:rFonts w:ascii="Arial" w:hAnsi="Arial" w:cs="Arial"/>
          <w:sz w:val="24"/>
          <w:szCs w:val="24"/>
        </w:rPr>
        <w:t> (2023/24)</w:t>
      </w:r>
    </w:p>
    <w:p w14:paraId="40F29D57" w14:textId="63C8D860" w:rsidR="00D867AB" w:rsidRPr="00D867AB" w:rsidRDefault="00D46745" w:rsidP="00D867AB">
      <w:pPr>
        <w:pStyle w:val="ListParagraph"/>
        <w:numPr>
          <w:ilvl w:val="0"/>
          <w:numId w:val="3"/>
        </w:numPr>
        <w:spacing w:after="0" w:line="360" w:lineRule="auto"/>
        <w:rPr>
          <w:rFonts w:ascii="Arial" w:eastAsia="Times New Roman" w:hAnsi="Arial" w:cs="Arial"/>
          <w:color w:val="212B32"/>
          <w:kern w:val="0"/>
          <w:sz w:val="24"/>
          <w:szCs w:val="24"/>
          <w:lang w:eastAsia="en-GB"/>
          <w14:ligatures w14:val="none"/>
        </w:rPr>
      </w:pPr>
      <w:hyperlink r:id="rId7" w:history="1">
        <w:r w:rsidR="00D867AB" w:rsidRPr="00D867AB">
          <w:rPr>
            <w:rFonts w:ascii="Arial" w:eastAsia="Times New Roman" w:hAnsi="Arial" w:cs="Arial"/>
            <w:color w:val="005EB8"/>
            <w:kern w:val="0"/>
            <w:sz w:val="24"/>
            <w:szCs w:val="24"/>
            <w:u w:val="single"/>
            <w:lang w:eastAsia="en-GB"/>
            <w14:ligatures w14:val="none"/>
          </w:rPr>
          <w:t>Appendix – EDS Reporting</w:t>
        </w:r>
      </w:hyperlink>
      <w:r w:rsidR="00D867AB" w:rsidRPr="00D867AB">
        <w:rPr>
          <w:rFonts w:ascii="Arial" w:eastAsia="Times New Roman" w:hAnsi="Arial" w:cs="Arial"/>
          <w:color w:val="212B32"/>
          <w:kern w:val="0"/>
          <w:sz w:val="24"/>
          <w:szCs w:val="24"/>
          <w:lang w:eastAsia="en-GB"/>
          <w14:ligatures w14:val="none"/>
        </w:rPr>
        <w:t> (2023/24)</w:t>
      </w:r>
    </w:p>
    <w:p w14:paraId="1E5AC31A" w14:textId="77777777" w:rsidR="00D867AB" w:rsidRDefault="00D867AB" w:rsidP="00D867AB">
      <w:pPr>
        <w:spacing w:after="0" w:line="360" w:lineRule="auto"/>
        <w:rPr>
          <w:rFonts w:ascii="Arial" w:eastAsia="Times New Roman" w:hAnsi="Arial" w:cs="Arial"/>
          <w:color w:val="212B32"/>
          <w:kern w:val="0"/>
          <w:sz w:val="24"/>
          <w:szCs w:val="24"/>
          <w:lang w:eastAsia="en-GB"/>
          <w14:ligatures w14:val="none"/>
        </w:rPr>
      </w:pPr>
    </w:p>
    <w:p w14:paraId="03AA095D" w14:textId="315F717A" w:rsidR="00D867AB" w:rsidRDefault="00D867AB" w:rsidP="00D867AB">
      <w:pPr>
        <w:spacing w:after="0" w:line="360" w:lineRule="auto"/>
        <w:rPr>
          <w:rFonts w:ascii="Arial" w:eastAsia="Times New Roman" w:hAnsi="Arial" w:cs="Arial"/>
          <w:color w:val="212B32"/>
          <w:kern w:val="0"/>
          <w:sz w:val="24"/>
          <w:szCs w:val="24"/>
          <w:lang w:eastAsia="en-GB"/>
          <w14:ligatures w14:val="none"/>
        </w:rPr>
      </w:pPr>
      <w:r>
        <w:rPr>
          <w:rFonts w:ascii="Arial" w:eastAsia="Times New Roman" w:hAnsi="Arial" w:cs="Arial"/>
          <w:color w:val="212B32"/>
          <w:kern w:val="0"/>
          <w:sz w:val="24"/>
          <w:szCs w:val="24"/>
          <w:lang w:eastAsia="en-GB"/>
          <w14:ligatures w14:val="none"/>
        </w:rPr>
        <w:t xml:space="preserve">Further information about the EDS is available on the </w:t>
      </w:r>
      <w:hyperlink r:id="rId8" w:history="1">
        <w:r w:rsidRPr="00D867AB">
          <w:rPr>
            <w:rStyle w:val="Hyperlink"/>
            <w:rFonts w:ascii="Arial" w:eastAsia="Times New Roman" w:hAnsi="Arial" w:cs="Arial"/>
            <w:kern w:val="0"/>
            <w:sz w:val="24"/>
            <w:szCs w:val="24"/>
            <w:lang w:eastAsia="en-GB"/>
            <w14:ligatures w14:val="none"/>
          </w:rPr>
          <w:t>NHS England website</w:t>
        </w:r>
      </w:hyperlink>
      <w:r>
        <w:rPr>
          <w:rFonts w:ascii="Arial" w:eastAsia="Times New Roman" w:hAnsi="Arial" w:cs="Arial"/>
          <w:color w:val="212B32"/>
          <w:kern w:val="0"/>
          <w:sz w:val="24"/>
          <w:szCs w:val="24"/>
          <w:lang w:eastAsia="en-GB"/>
          <w14:ligatures w14:val="none"/>
        </w:rPr>
        <w:t xml:space="preserve">. </w:t>
      </w:r>
    </w:p>
    <w:p w14:paraId="0972B08A" w14:textId="77777777" w:rsidR="00D867AB" w:rsidRPr="00553E55" w:rsidRDefault="00D867AB" w:rsidP="00D867AB">
      <w:pPr>
        <w:shd w:val="clear" w:color="auto" w:fill="FFFFFF"/>
        <w:spacing w:after="0" w:line="360" w:lineRule="auto"/>
        <w:rPr>
          <w:rFonts w:ascii="Arial" w:eastAsia="Times New Roman" w:hAnsi="Arial" w:cs="Arial"/>
          <w:color w:val="212B32"/>
          <w:kern w:val="0"/>
          <w:sz w:val="24"/>
          <w:szCs w:val="24"/>
          <w:lang w:eastAsia="en-GB"/>
          <w14:ligatures w14:val="none"/>
        </w:rPr>
      </w:pPr>
    </w:p>
    <w:p w14:paraId="498CA0B8" w14:textId="77777777" w:rsidR="00AE3CEC" w:rsidRDefault="00AE3CEC" w:rsidP="00D867AB">
      <w:pPr>
        <w:spacing w:after="0" w:line="360" w:lineRule="auto"/>
      </w:pPr>
    </w:p>
    <w:sectPr w:rsidR="00AE3CEC" w:rsidSect="000E24AD">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E6108"/>
    <w:multiLevelType w:val="hybridMultilevel"/>
    <w:tmpl w:val="6D70F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532C84"/>
    <w:multiLevelType w:val="multilevel"/>
    <w:tmpl w:val="DFFC4F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CD6583"/>
    <w:multiLevelType w:val="multilevel"/>
    <w:tmpl w:val="2B9C8E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7762577">
    <w:abstractNumId w:val="1"/>
  </w:num>
  <w:num w:numId="2" w16cid:durableId="415828243">
    <w:abstractNumId w:val="2"/>
  </w:num>
  <w:num w:numId="3" w16cid:durableId="1389038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7AB"/>
    <w:rsid w:val="000E24AD"/>
    <w:rsid w:val="00AE3CEC"/>
    <w:rsid w:val="00D46745"/>
    <w:rsid w:val="00D86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1AB20"/>
  <w15:chartTrackingRefBased/>
  <w15:docId w15:val="{DD4E529D-AD89-4779-AEDD-54096EB6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7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67AB"/>
    <w:rPr>
      <w:color w:val="0563C1" w:themeColor="hyperlink"/>
      <w:u w:val="single"/>
    </w:rPr>
  </w:style>
  <w:style w:type="character" w:styleId="UnresolvedMention">
    <w:name w:val="Unresolved Mention"/>
    <w:basedOn w:val="DefaultParagraphFont"/>
    <w:uiPriority w:val="99"/>
    <w:semiHidden/>
    <w:unhideWhenUsed/>
    <w:rsid w:val="00D867AB"/>
    <w:rPr>
      <w:color w:val="605E5C"/>
      <w:shd w:val="clear" w:color="auto" w:fill="E1DFDD"/>
    </w:rPr>
  </w:style>
  <w:style w:type="paragraph" w:styleId="ListParagraph">
    <w:name w:val="List Paragraph"/>
    <w:basedOn w:val="Normal"/>
    <w:uiPriority w:val="34"/>
    <w:qFormat/>
    <w:rsid w:val="00D867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about/equality/equality-hub/patient-equalities-programme/equality-frameworks-and-information-standards/eds/" TargetMode="External"/><Relationship Id="rId3" Type="http://schemas.openxmlformats.org/officeDocument/2006/relationships/settings" Target="settings.xml"/><Relationship Id="rId7" Type="http://schemas.openxmlformats.org/officeDocument/2006/relationships/hyperlink" Target="https://www.nhsglos.nhs.uk/wp-content/uploads/2024/03/AI-11-3-Appendix-3-PSED-and-EDS-pape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glos.nhs.uk/wp-content/uploads/2024/03/AI-11-2-ICB-Progress-Report-PSED-and-EDS-2023-24.pdf"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191</Words>
  <Characters>1095</Characters>
  <Application>Microsoft Office Word</Application>
  <DocSecurity>0</DocSecurity>
  <Lines>9</Lines>
  <Paragraphs>2</Paragraphs>
  <ScaleCrop>false</ScaleCrop>
  <Company>GLOUCESTERSHIRE HOSPITALS NHS FOUNDATION TRUST</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Caroline (NHS GLOUCESTERSHIRE ICB - 11M)</dc:creator>
  <cp:keywords/>
  <dc:description/>
  <cp:lastModifiedBy>SMITH, Caroline (NHS GLOUCESTERSHIRE ICB - 11M)</cp:lastModifiedBy>
  <cp:revision>3</cp:revision>
  <dcterms:created xsi:type="dcterms:W3CDTF">2024-10-03T13:18:00Z</dcterms:created>
  <dcterms:modified xsi:type="dcterms:W3CDTF">2024-10-10T13:48:00Z</dcterms:modified>
</cp:coreProperties>
</file>